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7207D" w14:textId="4C3C8595" w:rsidR="00C82E87" w:rsidRPr="00FF4739" w:rsidRDefault="0010542E" w:rsidP="00FF4739">
      <w:pPr>
        <w:pStyle w:val="Overskrift1"/>
        <w:rPr>
          <w:sz w:val="24"/>
          <w:szCs w:val="24"/>
        </w:rPr>
      </w:pPr>
      <w:r w:rsidRPr="00FF4739">
        <w:rPr>
          <w:sz w:val="24"/>
          <w:szCs w:val="24"/>
        </w:rPr>
        <w:t xml:space="preserve">Table </w:t>
      </w:r>
      <w:r w:rsidR="00DC0D64" w:rsidRPr="00FF4739">
        <w:rPr>
          <w:sz w:val="24"/>
          <w:szCs w:val="24"/>
        </w:rPr>
        <w:t>1</w:t>
      </w:r>
      <w:r w:rsidRPr="00FF4739">
        <w:rPr>
          <w:sz w:val="24"/>
          <w:szCs w:val="24"/>
        </w:rPr>
        <w:t xml:space="preserve">: </w:t>
      </w:r>
      <w:r w:rsidR="00A74073" w:rsidRPr="00FF4739">
        <w:rPr>
          <w:sz w:val="24"/>
          <w:szCs w:val="24"/>
        </w:rPr>
        <w:t>Controlled</w:t>
      </w:r>
      <w:r w:rsidRPr="00FF4739">
        <w:rPr>
          <w:sz w:val="24"/>
          <w:szCs w:val="24"/>
        </w:rPr>
        <w:t xml:space="preserve"> trials of </w:t>
      </w:r>
      <w:r w:rsidR="00F314FB" w:rsidRPr="00FF4739">
        <w:rPr>
          <w:sz w:val="24"/>
          <w:szCs w:val="24"/>
        </w:rPr>
        <w:t>homeopathy</w:t>
      </w:r>
      <w:r w:rsidRPr="00FF4739">
        <w:rPr>
          <w:sz w:val="24"/>
          <w:szCs w:val="24"/>
        </w:rPr>
        <w:t xml:space="preserve"> for cancer supportive care</w:t>
      </w:r>
    </w:p>
    <w:p w14:paraId="19062717" w14:textId="67FA5E04" w:rsidR="004D503D" w:rsidRPr="00830785" w:rsidRDefault="00D60E6C" w:rsidP="004D503D">
      <w:pPr>
        <w:rPr>
          <w:rFonts w:asciiTheme="minorHAnsi" w:hAnsiTheme="minorHAnsi" w:cstheme="minorHAnsi"/>
          <w:sz w:val="22"/>
          <w:szCs w:val="22"/>
        </w:rPr>
      </w:pPr>
      <w:r w:rsidRPr="00830785">
        <w:rPr>
          <w:rFonts w:asciiTheme="minorHAnsi" w:hAnsiTheme="minorHAnsi" w:cstheme="minorHAnsi"/>
          <w:sz w:val="22"/>
          <w:szCs w:val="22"/>
        </w:rPr>
        <w:t xml:space="preserve">Source: Karen Pilkington, CAM Cancer Consortium. </w:t>
      </w:r>
      <w:hyperlink r:id="rId7" w:history="1">
        <w:r w:rsidRPr="00830785">
          <w:rPr>
            <w:rStyle w:val="Hyperkobling"/>
            <w:rFonts w:asciiTheme="minorHAnsi" w:hAnsiTheme="minorHAnsi" w:cstheme="minorHAnsi"/>
            <w:sz w:val="22"/>
            <w:szCs w:val="22"/>
          </w:rPr>
          <w:t>Homeopathy</w:t>
        </w:r>
      </w:hyperlink>
      <w:r w:rsidRPr="00830785">
        <w:rPr>
          <w:rFonts w:asciiTheme="minorHAnsi" w:hAnsiTheme="minorHAnsi" w:cstheme="minorHAnsi"/>
          <w:sz w:val="22"/>
          <w:szCs w:val="22"/>
        </w:rPr>
        <w:t xml:space="preserve"> [online document]. </w:t>
      </w:r>
      <w:hyperlink r:id="rId8" w:history="1">
        <w:r w:rsidRPr="00830785">
          <w:rPr>
            <w:rStyle w:val="Hyperkobling"/>
            <w:rFonts w:asciiTheme="minorHAnsi" w:hAnsiTheme="minorHAnsi" w:cstheme="minorHAnsi"/>
            <w:sz w:val="22"/>
            <w:szCs w:val="22"/>
          </w:rPr>
          <w:t>https://cam-cancer.org/en/homeopathy-0</w:t>
        </w:r>
      </w:hyperlink>
      <w:r w:rsidRPr="00830785">
        <w:rPr>
          <w:rFonts w:asciiTheme="minorHAnsi" w:hAnsiTheme="minorHAnsi" w:cstheme="minorHAnsi"/>
          <w:sz w:val="22"/>
          <w:szCs w:val="22"/>
        </w:rPr>
        <w:t xml:space="preserve">, </w:t>
      </w:r>
      <w:r w:rsidR="00ED635E">
        <w:rPr>
          <w:rFonts w:asciiTheme="minorHAnsi" w:hAnsiTheme="minorHAnsi" w:cstheme="minorHAnsi"/>
          <w:sz w:val="22"/>
          <w:szCs w:val="22"/>
        </w:rPr>
        <w:t xml:space="preserve">December </w:t>
      </w:r>
      <w:r w:rsidRPr="00830785">
        <w:rPr>
          <w:rFonts w:asciiTheme="minorHAnsi" w:hAnsiTheme="minorHAnsi" w:cstheme="minorHAnsi"/>
          <w:sz w:val="22"/>
          <w:szCs w:val="22"/>
        </w:rPr>
        <w:t xml:space="preserve">2022.  </w:t>
      </w:r>
    </w:p>
    <w:p w14:paraId="1C16625E" w14:textId="77777777" w:rsidR="004D503D" w:rsidRPr="00830785" w:rsidRDefault="004D503D" w:rsidP="004D503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45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1361"/>
        <w:gridCol w:w="1910"/>
        <w:gridCol w:w="1979"/>
        <w:gridCol w:w="2410"/>
        <w:gridCol w:w="3260"/>
        <w:gridCol w:w="2485"/>
      </w:tblGrid>
      <w:tr w:rsidR="00ED635E" w:rsidRPr="00830785" w14:paraId="4D90B54A" w14:textId="77777777" w:rsidTr="00ED635E">
        <w:trPr>
          <w:cantSplit/>
          <w:trHeight w:val="1134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773AB" w14:textId="3D7930B5" w:rsidR="00ED635E" w:rsidRPr="00ED635E" w:rsidRDefault="00ED635E" w:rsidP="00ED635E">
            <w:pPr>
              <w:rPr>
                <w:rFonts w:asciiTheme="minorHAnsi" w:hAnsiTheme="minorHAnsi" w:cstheme="minorHAnsi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  <w:t>First author, year, ref</w:t>
            </w:r>
          </w:p>
          <w:p w14:paraId="0E778DAD" w14:textId="77777777" w:rsidR="00ED635E" w:rsidRDefault="00ED635E" w:rsidP="00ED635E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</w:p>
          <w:p w14:paraId="420BC30E" w14:textId="635D544A" w:rsidR="00ED635E" w:rsidRPr="00ED635E" w:rsidRDefault="00ED635E" w:rsidP="00ED635E">
            <w:pPr>
              <w:rPr>
                <w:rFonts w:asciiTheme="minorHAnsi" w:hAnsiTheme="minorHAnsi" w:cstheme="minorHAnsi"/>
                <w:sz w:val="22"/>
                <w:szCs w:val="22"/>
                <w:lang w:val="nl-BE" w:eastAsia="nl-BE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6BE63" w14:textId="77777777" w:rsidR="00ED635E" w:rsidRPr="00830785" w:rsidRDefault="00ED635E" w:rsidP="00926FB9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  <w:t>Study design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2BA27" w14:textId="77777777" w:rsidR="00ED635E" w:rsidRPr="00830785" w:rsidRDefault="00ED635E" w:rsidP="00926FB9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  <w:t>Participants (number, diagnosis)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C2A01" w14:textId="77777777" w:rsidR="00ED635E" w:rsidRPr="00830785" w:rsidRDefault="00ED635E" w:rsidP="00926FB9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  <w:t xml:space="preserve">Interventions (experimental treatments, control)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45F46" w14:textId="77777777" w:rsidR="00ED635E" w:rsidRPr="00830785" w:rsidRDefault="00ED635E" w:rsidP="00926FB9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  <w:t>Main outcome measures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7E463" w14:textId="77777777" w:rsidR="00ED635E" w:rsidRPr="00830785" w:rsidRDefault="00ED635E" w:rsidP="00926FB9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nl-BE" w:eastAsia="nl-BE"/>
              </w:rPr>
              <w:t>Main results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16947" w14:textId="77777777" w:rsidR="00ED635E" w:rsidRPr="00830785" w:rsidRDefault="00ED635E" w:rsidP="00926FB9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nl-BE"/>
              </w:rPr>
            </w:pPr>
            <w:r w:rsidRPr="0083078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en-US" w:eastAsia="nl-BE"/>
              </w:rPr>
              <w:t xml:space="preserve">Comments </w:t>
            </w:r>
          </w:p>
        </w:tc>
      </w:tr>
      <w:tr w:rsidR="00ED635E" w:rsidRPr="00830785" w14:paraId="4A2BC05B" w14:textId="77777777" w:rsidTr="00ED635E">
        <w:trPr>
          <w:cantSplit/>
          <w:trHeight w:val="1134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08A3F" w14:textId="232B2EC0" w:rsidR="00ED635E" w:rsidRPr="00ED635E" w:rsidRDefault="00ED635E" w:rsidP="00ED635E">
            <w:pPr>
              <w:rPr>
                <w:rFonts w:asciiTheme="minorHAnsi" w:hAnsiTheme="minorHAnsi" w:cstheme="minorHAnsi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Frass 2015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47F63" w14:textId="77777777" w:rsidR="00ED635E" w:rsidRPr="00830785" w:rsidRDefault="00ED635E" w:rsidP="003849B8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Pragmatic RCT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7AD0B" w14:textId="77777777" w:rsidR="00ED635E" w:rsidRPr="00830785" w:rsidRDefault="00ED635E" w:rsidP="003849B8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410 patients with various cancers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63BB0" w14:textId="77777777" w:rsidR="00ED635E" w:rsidRPr="00830785" w:rsidRDefault="00ED635E" w:rsidP="00C10BB1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Individualized remedies added to conventional treatment or conventional cancer treatment alone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CBC1B" w14:textId="77777777" w:rsidR="00ED635E" w:rsidRPr="00830785" w:rsidRDefault="00ED635E" w:rsidP="00926FB9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Global health status and subjective wellbeing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94A9A" w14:textId="77777777" w:rsidR="00ED635E" w:rsidRPr="00830785" w:rsidRDefault="00ED635E" w:rsidP="003C3932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 xml:space="preserve">Greater improvement in the homeopathy group in global health status of 7.7 (95%CI 2.3—13.0, p = 0.005) and in subjective wellbeing of 14.7 (95% CI 8.5—21.0, p &lt; 0.001) 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FB3E9" w14:textId="77777777" w:rsidR="00ED635E" w:rsidRPr="00830785" w:rsidRDefault="00ED635E" w:rsidP="00BB409A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Randomisation - adequate</w:t>
            </w:r>
          </w:p>
          <w:p w14:paraId="3305D3CD" w14:textId="77777777" w:rsidR="00ED635E" w:rsidRPr="00830785" w:rsidRDefault="00ED635E" w:rsidP="00BB409A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Allocation concealment - adequate</w:t>
            </w:r>
          </w:p>
          <w:p w14:paraId="019B375E" w14:textId="77777777" w:rsidR="00ED635E" w:rsidRPr="00830785" w:rsidRDefault="00ED635E" w:rsidP="00BB409A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Blinding – not blinded</w:t>
            </w:r>
          </w:p>
          <w:p w14:paraId="3AA7C719" w14:textId="77777777" w:rsidR="00ED635E" w:rsidRPr="00830785" w:rsidRDefault="00ED635E" w:rsidP="00BB409A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Power – calculated but attrition was high across the study and reasons not reported</w:t>
            </w:r>
          </w:p>
          <w:p w14:paraId="2E46EAE2" w14:textId="77777777" w:rsidR="00ED635E" w:rsidRDefault="00ED635E" w:rsidP="00BB409A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Intention-to-treat analysis – data was imputed appropriately</w:t>
            </w:r>
          </w:p>
          <w:p w14:paraId="518DDB88" w14:textId="2D9E559B" w:rsidR="00ED635E" w:rsidRPr="00830785" w:rsidRDefault="00ED635E" w:rsidP="00BB409A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</w:p>
        </w:tc>
      </w:tr>
      <w:tr w:rsidR="00ED635E" w:rsidRPr="00830785" w14:paraId="48A61993" w14:textId="77777777" w:rsidTr="00ED635E">
        <w:trPr>
          <w:cantSplit/>
          <w:trHeight w:val="1134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F35A2" w14:textId="7A600C60" w:rsidR="00ED635E" w:rsidRPr="00ED635E" w:rsidRDefault="00ED635E" w:rsidP="00ED635E">
            <w:pPr>
              <w:rPr>
                <w:rFonts w:asciiTheme="minorHAnsi" w:hAnsiTheme="minorHAnsi" w:cstheme="minorHAnsi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Frass 2020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941C6" w14:textId="77777777" w:rsidR="00ED635E" w:rsidRPr="00830785" w:rsidRDefault="00ED635E" w:rsidP="003849B8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RCT (3-arm)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D0C10" w14:textId="77777777" w:rsidR="00ED635E" w:rsidRPr="00830785" w:rsidRDefault="00ED635E" w:rsidP="003C3932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 xml:space="preserve">150 </w:t>
            </w:r>
            <w:bookmarkStart w:id="0" w:name="_Hlk117258860"/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 xml:space="preserve">patients with stage IV non‐small cell lung cancer </w:t>
            </w:r>
            <w:bookmarkEnd w:id="0"/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(NSCLC)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4B86D" w14:textId="77777777" w:rsidR="00ED635E" w:rsidRPr="00830785" w:rsidRDefault="00ED635E" w:rsidP="003C3932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Individualized homeopathic remedies (n = 51) or placebo (n = 47)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, remainder in a control group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3F5C1" w14:textId="77777777" w:rsidR="00ED635E" w:rsidRPr="00830785" w:rsidRDefault="00ED635E" w:rsidP="003C3932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 xml:space="preserve">QoL </w:t>
            </w:r>
          </w:p>
          <w:p w14:paraId="4E77C3E1" w14:textId="77777777" w:rsidR="00ED635E" w:rsidRPr="00830785" w:rsidRDefault="00ED635E" w:rsidP="003C3932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 xml:space="preserve">functional and symptom scales Median survival time Survival rate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2759D" w14:textId="77777777" w:rsidR="00ED635E" w:rsidRPr="00830785" w:rsidRDefault="00ED635E" w:rsidP="00830785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 xml:space="preserve">Significant improvement in QoL functional and symptom scales (p &lt; 0.001), median survival time (p = 0.01) and survival rate compared with placebo (p = 0.02) 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6F0EF" w14:textId="77777777" w:rsidR="00ED635E" w:rsidRPr="00830785" w:rsidRDefault="00ED635E" w:rsidP="00830785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Randomisation - Adequate</w:t>
            </w:r>
          </w:p>
          <w:p w14:paraId="55D5E60D" w14:textId="77777777" w:rsidR="00ED635E" w:rsidRPr="00830785" w:rsidRDefault="00ED635E" w:rsidP="00830785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Allocation concealment - Adequate</w:t>
            </w:r>
          </w:p>
          <w:p w14:paraId="09E769C7" w14:textId="77777777" w:rsidR="00ED635E" w:rsidRPr="00830785" w:rsidRDefault="00ED635E" w:rsidP="00830785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Blinding – Adequate</w:t>
            </w:r>
          </w:p>
          <w:p w14:paraId="0DD19DBC" w14:textId="77777777" w:rsidR="00ED635E" w:rsidRPr="00830785" w:rsidRDefault="00ED635E" w:rsidP="00830785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 xml:space="preserve">Power – calculated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but not achieved</w:t>
            </w:r>
          </w:p>
          <w:p w14:paraId="30336AB1" w14:textId="77777777" w:rsidR="00ED635E" w:rsidRDefault="00ED635E" w:rsidP="00830785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Intention-to-treat analysis – conducted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 xml:space="preserve"> </w:t>
            </w:r>
          </w:p>
          <w:p w14:paraId="3D9CEFBE" w14:textId="71ADB631" w:rsidR="00ED635E" w:rsidRPr="00830785" w:rsidRDefault="00ED635E" w:rsidP="00830785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</w:p>
        </w:tc>
      </w:tr>
      <w:tr w:rsidR="00ED635E" w:rsidRPr="00830785" w14:paraId="5C81C291" w14:textId="77777777" w:rsidTr="00ED635E">
        <w:trPr>
          <w:cantSplit/>
          <w:trHeight w:val="1134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FF62B" w14:textId="77777777" w:rsidR="00ED635E" w:rsidRPr="00830785" w:rsidRDefault="00ED635E" w:rsidP="007F6A70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lastRenderedPageBreak/>
              <w:t>Frass 2020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39A52" w14:textId="77777777" w:rsidR="00ED635E" w:rsidRPr="00830785" w:rsidRDefault="00ED635E" w:rsidP="003849B8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RCT (2-arm plus observational control group)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43FAB" w14:textId="77777777" w:rsidR="00ED635E" w:rsidRPr="00830785" w:rsidRDefault="00ED635E" w:rsidP="003C3932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150 patients with stage IV, non‐small cell lung cancer (NSCLC)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B2A9B" w14:textId="77777777" w:rsidR="00ED635E" w:rsidRPr="00830785" w:rsidRDefault="00ED635E" w:rsidP="003C3932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98 received individualized homeopathic remedies (n = 51) or placebo (n = 47); 52 control patients observed for survival only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E71F3" w14:textId="77777777" w:rsidR="00ED635E" w:rsidRPr="00830785" w:rsidRDefault="00ED635E" w:rsidP="003C3932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QoL, global health status, subjective wellbeing, median survival time, survival rate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B6BBF" w14:textId="77777777" w:rsidR="00ED635E" w:rsidRDefault="00ED635E" w:rsidP="003849B8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Significant difference in QoL between homeopathy and placebo groups after 9 and 18 weeks of treatment (p &lt; .001). Significant difference in median survival time between homeopathy group (435 days) versus placebo (257 days; p = .010) as well as versus control (228 days; p &lt; .001). Survival rate in the homeopathy group differed significantly from placebo (p = .020) and from control (p &lt; .001).</w:t>
            </w:r>
          </w:p>
          <w:p w14:paraId="31564893" w14:textId="52670799" w:rsidR="00ED635E" w:rsidRPr="00830785" w:rsidRDefault="00ED635E" w:rsidP="003849B8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B0C50" w14:textId="77777777" w:rsidR="00ED635E" w:rsidRPr="00830785" w:rsidRDefault="00ED635E" w:rsidP="00133B05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Randomisation - adequate</w:t>
            </w:r>
          </w:p>
          <w:p w14:paraId="4C843BE4" w14:textId="77777777" w:rsidR="00ED635E" w:rsidRPr="00830785" w:rsidRDefault="00ED635E" w:rsidP="00133B05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Allocation concealment - adequate</w:t>
            </w:r>
          </w:p>
          <w:p w14:paraId="07FA8A13" w14:textId="77777777" w:rsidR="00ED635E" w:rsidRPr="00830785" w:rsidRDefault="00ED635E" w:rsidP="00133B05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Blinding – adequate</w:t>
            </w:r>
          </w:p>
          <w:p w14:paraId="318FB220" w14:textId="77777777" w:rsidR="00ED635E" w:rsidRPr="00830785" w:rsidRDefault="00ED635E" w:rsidP="00133B05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Power – calculated and achieved for interim but not full analysis</w:t>
            </w:r>
          </w:p>
          <w:p w14:paraId="70B14A71" w14:textId="77777777" w:rsidR="00ED635E" w:rsidRPr="00830785" w:rsidRDefault="00ED635E" w:rsidP="00133B05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Intention-to-treat analysis – conducted</w:t>
            </w:r>
          </w:p>
        </w:tc>
      </w:tr>
      <w:tr w:rsidR="00ED635E" w:rsidRPr="00830785" w14:paraId="545F72A8" w14:textId="77777777" w:rsidTr="00ED635E">
        <w:trPr>
          <w:cantSplit/>
          <w:trHeight w:val="1134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215B4" w14:textId="77777777" w:rsidR="00ED635E" w:rsidRPr="00830785" w:rsidRDefault="00ED635E" w:rsidP="007F6A70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Heudel 2019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7A336" w14:textId="77777777" w:rsidR="00ED635E" w:rsidRPr="00830785" w:rsidRDefault="00ED635E" w:rsidP="003849B8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Multicentre RCT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E7763" w14:textId="0CFEEC5E" w:rsidR="00ED635E" w:rsidRPr="00830785" w:rsidRDefault="00ED635E" w:rsidP="00ED635E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138 patients with non metastatic localized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 xml:space="preserve"> </w:t>
            </w: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breast cancer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6DBD2" w14:textId="77777777" w:rsidR="00ED635E" w:rsidRPr="00830785" w:rsidRDefault="00ED635E" w:rsidP="003849B8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BRN-01 (complex homeopathic remedy) or placebo tablets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BCC5F" w14:textId="77777777" w:rsidR="00ED635E" w:rsidRPr="00830785" w:rsidRDefault="00ED635E" w:rsidP="003C3932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Hot flushes, compliance, tolerance, quality of life and satisfaction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C447B" w14:textId="77777777" w:rsidR="00ED635E" w:rsidRPr="00830785" w:rsidRDefault="00ED635E" w:rsidP="00E12DD0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No statistically significant differences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C1911" w14:textId="77777777" w:rsidR="00ED635E" w:rsidRPr="00830785" w:rsidRDefault="00ED635E" w:rsidP="003C3932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Randomisation - Adequate</w:t>
            </w:r>
          </w:p>
          <w:p w14:paraId="7CCAA113" w14:textId="77777777" w:rsidR="00ED635E" w:rsidRPr="00830785" w:rsidRDefault="00ED635E" w:rsidP="003C3932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Allocation concealment - Adequate</w:t>
            </w:r>
          </w:p>
          <w:p w14:paraId="04925882" w14:textId="77777777" w:rsidR="00ED635E" w:rsidRPr="00830785" w:rsidRDefault="00ED635E" w:rsidP="003C3932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Blinding – Adequate</w:t>
            </w:r>
          </w:p>
          <w:p w14:paraId="7D5A176A" w14:textId="77777777" w:rsidR="00ED635E" w:rsidRPr="00830785" w:rsidRDefault="00ED635E" w:rsidP="003C3932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Power – calculated and achieved with small attrition rates</w:t>
            </w:r>
          </w:p>
          <w:p w14:paraId="6C2DCEB6" w14:textId="77777777" w:rsidR="00ED635E" w:rsidRDefault="00ED635E" w:rsidP="003C3932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Intention-to-treat analysis – conducted</w:t>
            </w:r>
          </w:p>
          <w:p w14:paraId="04413373" w14:textId="46815F32" w:rsidR="00ED635E" w:rsidRPr="00830785" w:rsidRDefault="00ED635E" w:rsidP="003C3932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</w:p>
        </w:tc>
      </w:tr>
      <w:tr w:rsidR="00ED635E" w:rsidRPr="00830785" w14:paraId="1D886B2A" w14:textId="77777777" w:rsidTr="00ED635E">
        <w:trPr>
          <w:cantSplit/>
          <w:trHeight w:val="1134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E737E" w14:textId="77777777" w:rsidR="00ED635E" w:rsidRPr="00830785" w:rsidRDefault="00ED635E" w:rsidP="00AB3E37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lastRenderedPageBreak/>
              <w:t>Karp 2016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18828" w14:textId="77777777" w:rsidR="00ED635E" w:rsidRPr="00830785" w:rsidRDefault="00ED635E" w:rsidP="00AB3E37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Non-randomised trial (in 2 centres)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14935" w14:textId="77777777" w:rsidR="00ED635E" w:rsidRPr="00830785" w:rsidRDefault="00ED635E" w:rsidP="00AB3E37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40 breast cancer patients being treated with aromatase inhibitors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67BD" w14:textId="77777777" w:rsidR="00ED635E" w:rsidRDefault="00ED635E" w:rsidP="00AB3E37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 xml:space="preserve">Ruta graveolens 5CH and Rhus toxicodendron 9CH (5 granules, twice a day) in addition to standard treatment or control group receiving standard treatment </w:t>
            </w:r>
          </w:p>
          <w:p w14:paraId="2D527EED" w14:textId="34601C3F" w:rsidR="00ED635E" w:rsidRPr="00830785" w:rsidRDefault="00ED635E" w:rsidP="00AB3E37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C0990" w14:textId="77777777" w:rsidR="00ED635E" w:rsidRPr="00830785" w:rsidRDefault="00ED635E" w:rsidP="00AB3E37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Joint pain and stiffness, the impact of pain on sleep and analgesic consumption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7AD62" w14:textId="77777777" w:rsidR="00ED635E" w:rsidRPr="00830785" w:rsidRDefault="00ED635E" w:rsidP="00AB3E37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Significant difference pain score (p = 0.0001), effect on sleep and analgesic consumption.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35ACC" w14:textId="77777777" w:rsidR="00ED635E" w:rsidRPr="00830785" w:rsidRDefault="00ED635E" w:rsidP="00AB3E37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Randomisation – not randomised</w:t>
            </w:r>
          </w:p>
          <w:p w14:paraId="3C6F27EA" w14:textId="77777777" w:rsidR="00ED635E" w:rsidRPr="00830785" w:rsidRDefault="00ED635E" w:rsidP="00AB3E37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Allocation concealment – N/A</w:t>
            </w:r>
          </w:p>
          <w:p w14:paraId="0F5B13C1" w14:textId="77777777" w:rsidR="00ED635E" w:rsidRPr="00830785" w:rsidRDefault="00ED635E" w:rsidP="00AB3E37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Blinding – not blinded</w:t>
            </w:r>
          </w:p>
          <w:p w14:paraId="34117B20" w14:textId="77777777" w:rsidR="00ED635E" w:rsidRPr="00830785" w:rsidRDefault="00ED635E" w:rsidP="00AB3E37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Power – not mentioned</w:t>
            </w:r>
          </w:p>
          <w:p w14:paraId="1DAD5451" w14:textId="77777777" w:rsidR="00ED635E" w:rsidRPr="00830785" w:rsidRDefault="00ED635E" w:rsidP="00AB3E37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Intention-to-treat analysis – not mentioned</w:t>
            </w:r>
          </w:p>
        </w:tc>
      </w:tr>
      <w:tr w:rsidR="00ED635E" w:rsidRPr="00830785" w14:paraId="221F642B" w14:textId="77777777" w:rsidTr="00ED635E">
        <w:trPr>
          <w:cantSplit/>
          <w:trHeight w:val="1134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3E587" w14:textId="77777777" w:rsidR="00ED635E" w:rsidRPr="00830785" w:rsidRDefault="00ED635E" w:rsidP="007F6A70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Lotan 2020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3986" w14:textId="77777777" w:rsidR="00ED635E" w:rsidRPr="00830785" w:rsidRDefault="00ED635E" w:rsidP="003849B8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RCT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0761C" w14:textId="77777777" w:rsidR="00ED635E" w:rsidRPr="00830785" w:rsidRDefault="00ED635E" w:rsidP="003C3932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55 women undergoing mastectomy for cancer risk reduction or breast cancer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0055D" w14:textId="77777777" w:rsidR="00ED635E" w:rsidRPr="00830785" w:rsidRDefault="00ED635E" w:rsidP="003C3932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(Arnica montana C30 and Bellis perennis C30), or placebo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A8559" w14:textId="77777777" w:rsidR="00ED635E" w:rsidRPr="00830785" w:rsidRDefault="00ED635E" w:rsidP="003C3932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Time to surgical drain removal</w:t>
            </w:r>
          </w:p>
          <w:p w14:paraId="7CAA6286" w14:textId="77777777" w:rsidR="00ED635E" w:rsidRPr="00830785" w:rsidRDefault="00ED635E" w:rsidP="003C3932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haemoglobin levesl</w:t>
            </w:r>
          </w:p>
          <w:p w14:paraId="2F929B8D" w14:textId="77777777" w:rsidR="00ED635E" w:rsidRPr="00830785" w:rsidRDefault="00ED635E" w:rsidP="003C3932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 xml:space="preserve">cortisol levels </w:t>
            </w:r>
          </w:p>
          <w:p w14:paraId="26664737" w14:textId="77777777" w:rsidR="00ED635E" w:rsidRPr="00830785" w:rsidRDefault="00ED635E" w:rsidP="00AB3E37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pain medication intake</w:t>
            </w:r>
          </w:p>
          <w:p w14:paraId="3CC6DE66" w14:textId="77777777" w:rsidR="00ED635E" w:rsidRPr="00830785" w:rsidRDefault="00ED635E" w:rsidP="00AB3E37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 xml:space="preserve">pain </w:t>
            </w:r>
          </w:p>
          <w:p w14:paraId="344ECB98" w14:textId="77777777" w:rsidR="00ED635E" w:rsidRPr="00830785" w:rsidRDefault="00ED635E" w:rsidP="00AB3E37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adverse reactions quality of recovery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DDBCC" w14:textId="77777777" w:rsidR="00ED635E" w:rsidRDefault="00ED635E" w:rsidP="003849B8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Significantly reduced drain removal time and nt opioid intake was lower (p &lt; 0.057) in the study group. Quality of life, postoperative pain, hemoglobin and cortisol levels, and complications were not associated with any treatment.</w:t>
            </w:r>
          </w:p>
          <w:p w14:paraId="4DE54635" w14:textId="05AD8AAE" w:rsidR="00ED635E" w:rsidRPr="00830785" w:rsidRDefault="00ED635E" w:rsidP="003849B8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33DBC" w14:textId="77777777" w:rsidR="00ED635E" w:rsidRPr="00830785" w:rsidRDefault="00ED635E" w:rsidP="00475138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Randomisation - Adequate</w:t>
            </w:r>
          </w:p>
          <w:p w14:paraId="30245760" w14:textId="77777777" w:rsidR="00ED635E" w:rsidRPr="00830785" w:rsidRDefault="00ED635E" w:rsidP="00475138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Allocation concealment - Adequate</w:t>
            </w:r>
          </w:p>
          <w:p w14:paraId="7D38BDEF" w14:textId="77777777" w:rsidR="00ED635E" w:rsidRPr="00830785" w:rsidRDefault="00ED635E" w:rsidP="00475138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Blinding – Adequate</w:t>
            </w:r>
          </w:p>
          <w:p w14:paraId="04DB85A5" w14:textId="77777777" w:rsidR="00ED635E" w:rsidRPr="00830785" w:rsidRDefault="00ED635E" w:rsidP="00830785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 xml:space="preserve">Power – calculated </w:t>
            </w:r>
          </w:p>
          <w:p w14:paraId="74A2BC51" w14:textId="77777777" w:rsidR="00ED635E" w:rsidRPr="00830785" w:rsidRDefault="00ED635E" w:rsidP="00830785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Intention-to-treat analysis – conducted</w:t>
            </w:r>
          </w:p>
        </w:tc>
      </w:tr>
      <w:tr w:rsidR="00ED635E" w:rsidRPr="00830785" w14:paraId="022BC2C3" w14:textId="77777777" w:rsidTr="00ED635E">
        <w:trPr>
          <w:cantSplit/>
          <w:trHeight w:val="1134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27919" w14:textId="77777777" w:rsidR="00ED635E" w:rsidRPr="00830785" w:rsidRDefault="00ED635E" w:rsidP="007F6A70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Pérol 2012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85C1" w14:textId="77777777" w:rsidR="00ED635E" w:rsidRPr="00830785" w:rsidRDefault="00ED635E" w:rsidP="00BA49AD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Multicentre RCT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41682" w14:textId="77777777" w:rsidR="00ED635E" w:rsidRPr="00830785" w:rsidRDefault="00ED635E" w:rsidP="00926FB9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431 with non-metastatic breast cancer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02117" w14:textId="77777777" w:rsidR="00ED635E" w:rsidRPr="00830785" w:rsidRDefault="00ED635E" w:rsidP="00BB409A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 xml:space="preserve">Cocculine (complex homeopathic remedy) or placebo </w:t>
            </w:r>
          </w:p>
          <w:p w14:paraId="13023B1D" w14:textId="77777777" w:rsidR="00ED635E" w:rsidRPr="00830785" w:rsidRDefault="00ED635E" w:rsidP="00D60E6C">
            <w:pPr>
              <w:rPr>
                <w:rFonts w:asciiTheme="minorHAnsi" w:hAnsiTheme="minorHAnsi" w:cstheme="minorHAnsi"/>
                <w:sz w:val="22"/>
                <w:szCs w:val="22"/>
                <w:lang w:val="nl-BE" w:eastAsia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278A6" w14:textId="77777777" w:rsidR="00ED635E" w:rsidRPr="00830785" w:rsidRDefault="00ED635E" w:rsidP="00926FB9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Nausea, vomiting, compliance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B67D7" w14:textId="77777777" w:rsidR="00ED635E" w:rsidRPr="00830785" w:rsidRDefault="00ED635E" w:rsidP="00C10BB1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No significant differences in nausea, vomiting and global emesis scores at any</w:t>
            </w:r>
          </w:p>
          <w:p w14:paraId="5DCB51B6" w14:textId="77777777" w:rsidR="00ED635E" w:rsidRPr="00830785" w:rsidRDefault="00ED635E" w:rsidP="00C10BB1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time between the two study arms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A8C35" w14:textId="77777777" w:rsidR="00ED635E" w:rsidRPr="00830785" w:rsidRDefault="00ED635E" w:rsidP="00BB409A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Randomisation - adequate</w:t>
            </w:r>
          </w:p>
          <w:p w14:paraId="1BB1A5F9" w14:textId="77777777" w:rsidR="00ED635E" w:rsidRPr="00830785" w:rsidRDefault="00ED635E" w:rsidP="00BB409A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Allocation concealment - adequate</w:t>
            </w:r>
          </w:p>
          <w:p w14:paraId="0938F756" w14:textId="77777777" w:rsidR="00ED635E" w:rsidRPr="00830785" w:rsidRDefault="00ED635E" w:rsidP="00BB409A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Blinding - blinding</w:t>
            </w:r>
          </w:p>
          <w:p w14:paraId="6975425B" w14:textId="77777777" w:rsidR="00ED635E" w:rsidRPr="00830785" w:rsidRDefault="00ED635E" w:rsidP="00BB409A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Power - adequate</w:t>
            </w:r>
          </w:p>
          <w:p w14:paraId="527F8C07" w14:textId="77777777" w:rsidR="00ED635E" w:rsidRPr="00830785" w:rsidRDefault="00ED635E" w:rsidP="00BB409A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Intention-to-treat analysis was conducted</w:t>
            </w:r>
          </w:p>
        </w:tc>
      </w:tr>
      <w:tr w:rsidR="00ED635E" w:rsidRPr="00830785" w14:paraId="0A0C1C11" w14:textId="77777777" w:rsidTr="00ED635E">
        <w:trPr>
          <w:cantSplit/>
          <w:trHeight w:val="1134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B5AA0" w14:textId="77777777" w:rsidR="00ED635E" w:rsidRPr="00830785" w:rsidRDefault="00ED635E" w:rsidP="00E12DD0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lastRenderedPageBreak/>
              <w:t>Rostock 2011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09746" w14:textId="77777777" w:rsidR="00ED635E" w:rsidRPr="00830785" w:rsidRDefault="00ED635E" w:rsidP="00E12DD0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Prospective observational study with matched pairs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83F87" w14:textId="77777777" w:rsidR="00ED635E" w:rsidRPr="00830785" w:rsidRDefault="00ED635E" w:rsidP="003C3932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639 patients with various cancers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A1BD9" w14:textId="77777777" w:rsidR="00ED635E" w:rsidRPr="00830785" w:rsidRDefault="00ED635E" w:rsidP="00E12DD0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bookmarkStart w:id="1" w:name="_Hlk121411044"/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C</w:t>
            </w:r>
            <w:r w:rsidRPr="007E7C5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omplementary homeopathic treatment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 xml:space="preserve"> or </w:t>
            </w:r>
            <w:r w:rsidRPr="007E7C5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 xml:space="preserve">conventional cancer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treatment</w:t>
            </w:r>
            <w:r w:rsidRPr="007E7C5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 xml:space="preserve"> </w:t>
            </w:r>
            <w:bookmarkEnd w:id="1"/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B2CC6" w14:textId="77777777" w:rsidR="00ED635E" w:rsidRDefault="00ED635E" w:rsidP="008D7612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D761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QoL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 xml:space="preserve"> </w:t>
            </w:r>
          </w:p>
          <w:p w14:paraId="60E172B5" w14:textId="77777777" w:rsidR="00ED635E" w:rsidRDefault="00ED635E" w:rsidP="00003824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F</w:t>
            </w:r>
            <w:r w:rsidRPr="008D761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atigue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 xml:space="preserve"> </w:t>
            </w:r>
          </w:p>
          <w:p w14:paraId="43FA6E3C" w14:textId="77777777" w:rsidR="00ED635E" w:rsidRPr="00830785" w:rsidRDefault="00ED635E" w:rsidP="00003824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P</w:t>
            </w:r>
            <w:r w:rsidRPr="008D761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sychological wellbeing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 xml:space="preserve"> (</w:t>
            </w:r>
            <w:r w:rsidRPr="008D761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Hospital Anxiety and Depression Scale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)</w:t>
            </w:r>
            <w:r w:rsidRPr="008D761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 xml:space="preserve"> Patient satisfaction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5AFFE" w14:textId="77777777" w:rsidR="00ED635E" w:rsidRDefault="00ED635E" w:rsidP="00E12DD0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00382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 xml:space="preserve">Significant improvement in QOL and fatigue in first 3 months and again at 12 months in homeopathic but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 xml:space="preserve">QOL </w:t>
            </w:r>
            <w:r w:rsidRPr="0000382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remained generally constant in the conventional group (no between group comparison). Anxiety and depression did not change. Insufficient patients were identified for the matched pairs study.</w:t>
            </w:r>
          </w:p>
          <w:p w14:paraId="7963BD86" w14:textId="2ABE8D0B" w:rsidR="00ED635E" w:rsidRPr="00830785" w:rsidRDefault="00ED635E" w:rsidP="00E12DD0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AB3B2" w14:textId="77777777" w:rsidR="00ED635E" w:rsidRPr="00003824" w:rsidRDefault="00ED635E" w:rsidP="00003824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00382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Patients in the two groups differed in several sociodemographic</w:t>
            </w:r>
          </w:p>
          <w:p w14:paraId="527C6A70" w14:textId="77777777" w:rsidR="00ED635E" w:rsidRPr="00830785" w:rsidRDefault="00ED635E" w:rsidP="00003824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003824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and disease variables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.</w:t>
            </w:r>
          </w:p>
        </w:tc>
      </w:tr>
      <w:tr w:rsidR="00ED635E" w:rsidRPr="00830785" w14:paraId="722909F5" w14:textId="77777777" w:rsidTr="00ED635E">
        <w:trPr>
          <w:cantSplit/>
          <w:trHeight w:val="1134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D6656" w14:textId="77777777" w:rsidR="00ED635E" w:rsidRPr="00830785" w:rsidRDefault="00ED635E" w:rsidP="00E12DD0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Sencer 2012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BA085" w14:textId="77777777" w:rsidR="00ED635E" w:rsidRPr="00830785" w:rsidRDefault="00ED635E" w:rsidP="00E12DD0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Multicentre RCT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9FFC2" w14:textId="77777777" w:rsidR="00ED635E" w:rsidRPr="00830785" w:rsidRDefault="00ED635E" w:rsidP="003C3932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190 patients aged 3-25 years receiving human stem cell transplants (87% were cancer patients)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58F77" w14:textId="77777777" w:rsidR="00ED635E" w:rsidRPr="00830785" w:rsidRDefault="00ED635E" w:rsidP="00E12DD0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Oral solution of Traumeel S (complex homeopathic remedy) or placebo (saline) 5 times daily for up to 22 days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DA7D7" w14:textId="77777777" w:rsidR="00ED635E" w:rsidRPr="00830785" w:rsidRDefault="00ED635E" w:rsidP="00BB409A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 xml:space="preserve">Mucositis, narcotic usage, total parenteral nutrition or nasogastric feed days, adverse events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CB442" w14:textId="77777777" w:rsidR="00ED635E" w:rsidRPr="00830785" w:rsidRDefault="00ED635E" w:rsidP="00E12DD0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No statistically significant differences were recorded.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BF096" w14:textId="77777777" w:rsidR="00ED635E" w:rsidRPr="00830785" w:rsidRDefault="00ED635E" w:rsidP="00BB409A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Randomisation adequate</w:t>
            </w:r>
          </w:p>
          <w:p w14:paraId="4D399590" w14:textId="77777777" w:rsidR="00ED635E" w:rsidRPr="00830785" w:rsidRDefault="00ED635E" w:rsidP="00BB409A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Allocation concealment adequate</w:t>
            </w:r>
          </w:p>
          <w:p w14:paraId="352BA4CF" w14:textId="77777777" w:rsidR="00ED635E" w:rsidRPr="00830785" w:rsidRDefault="00ED635E" w:rsidP="00BB409A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Blinding adequate</w:t>
            </w:r>
          </w:p>
          <w:p w14:paraId="665E5776" w14:textId="77777777" w:rsidR="00ED635E" w:rsidRPr="00830785" w:rsidRDefault="00ED635E" w:rsidP="00BB409A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Power was adequate</w:t>
            </w:r>
          </w:p>
          <w:p w14:paraId="4C4E47E5" w14:textId="77777777" w:rsidR="00ED635E" w:rsidRPr="00830785" w:rsidRDefault="00ED635E" w:rsidP="00BB409A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Intention-to-treat analysis was not mentioned but attrition was small and similar in both groups</w:t>
            </w:r>
          </w:p>
        </w:tc>
      </w:tr>
      <w:tr w:rsidR="00ED635E" w:rsidRPr="00830785" w14:paraId="40CF2D5A" w14:textId="77777777" w:rsidTr="00ED635E">
        <w:trPr>
          <w:cantSplit/>
          <w:trHeight w:val="1134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0002E" w14:textId="77777777" w:rsidR="00ED635E" w:rsidRPr="00830785" w:rsidRDefault="00ED635E" w:rsidP="00AB3E37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Sorrentino 2017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3A813" w14:textId="77777777" w:rsidR="00ED635E" w:rsidRPr="00830785" w:rsidRDefault="00ED635E" w:rsidP="00AB3E37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RCT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39FB2" w14:textId="77777777" w:rsidR="00ED635E" w:rsidRPr="00830785" w:rsidRDefault="00ED635E" w:rsidP="00AB3E37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53 breast cancer patients undergoing unilateral total mastectomy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22B63" w14:textId="77777777" w:rsidR="00ED635E" w:rsidRPr="00830785" w:rsidRDefault="00ED635E" w:rsidP="00AB3E37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Arnica Montana 1000 Korsakovian dilution (1000 K) or placebo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73688" w14:textId="77777777" w:rsidR="00ED635E" w:rsidRPr="00830785" w:rsidRDefault="00ED635E" w:rsidP="00AB3E37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Blood and</w:t>
            </w:r>
          </w:p>
          <w:p w14:paraId="32E3B069" w14:textId="77777777" w:rsidR="00ED635E" w:rsidRPr="00830785" w:rsidRDefault="00ED635E" w:rsidP="00AB3E37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serum volumes drained, duration of drainage, pain, bruising or hematomas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37E0A" w14:textId="77777777" w:rsidR="00ED635E" w:rsidRPr="00830785" w:rsidRDefault="00ED635E" w:rsidP="00AB3E37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Lower blood and serum volumes (</w:t>
            </w:r>
            <w:r w:rsidRPr="00830785">
              <w:rPr>
                <w:rFonts w:asciiTheme="minorHAnsi" w:hAnsiTheme="minorHAnsi" w:cstheme="minorHAnsi"/>
                <w:bCs/>
                <w:i/>
                <w:color w:val="000000"/>
                <w:sz w:val="22"/>
                <w:szCs w:val="22"/>
                <w:lang w:val="nl-BE" w:eastAsia="nl-BE"/>
              </w:rPr>
              <w:t>note: stated in paper but P = 0.11</w:t>
            </w: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 xml:space="preserve"> which is non-significant), no differences in other outcomes 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733EE" w14:textId="77777777" w:rsidR="00ED635E" w:rsidRPr="00830785" w:rsidRDefault="00ED635E" w:rsidP="00AB3E37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Randomisation - adequate</w:t>
            </w:r>
          </w:p>
          <w:p w14:paraId="53CFF352" w14:textId="77777777" w:rsidR="00ED635E" w:rsidRPr="00830785" w:rsidRDefault="00ED635E" w:rsidP="00AB3E37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Allocation concealment - adequate</w:t>
            </w:r>
          </w:p>
          <w:p w14:paraId="6BB68407" w14:textId="77777777" w:rsidR="00ED635E" w:rsidRPr="00830785" w:rsidRDefault="00ED635E" w:rsidP="00AB3E37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Blinding – adequate</w:t>
            </w:r>
          </w:p>
          <w:p w14:paraId="53F3E851" w14:textId="77777777" w:rsidR="00ED635E" w:rsidRPr="00830785" w:rsidRDefault="00ED635E" w:rsidP="00AB3E37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Power – calculated and achieved</w:t>
            </w:r>
          </w:p>
          <w:p w14:paraId="4F245B4B" w14:textId="77777777" w:rsidR="00ED635E" w:rsidRPr="00830785" w:rsidRDefault="00ED635E" w:rsidP="00AB3E37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Intention-to-treat analysis – conducted</w:t>
            </w:r>
          </w:p>
        </w:tc>
      </w:tr>
      <w:tr w:rsidR="00ED635E" w:rsidRPr="00830785" w14:paraId="79122834" w14:textId="77777777" w:rsidTr="00ED635E">
        <w:trPr>
          <w:cantSplit/>
          <w:trHeight w:val="1134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BBF1E" w14:textId="77777777" w:rsidR="00ED635E" w:rsidRPr="00830785" w:rsidRDefault="00ED635E" w:rsidP="00E12DD0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lastRenderedPageBreak/>
              <w:t>Steinmann 2012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FD18B" w14:textId="77777777" w:rsidR="00ED635E" w:rsidRPr="00830785" w:rsidRDefault="00ED635E" w:rsidP="00E12DD0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Non-randomized, prospective, observational study with matched pairs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68DB3" w14:textId="77777777" w:rsidR="00ED635E" w:rsidRPr="00830785" w:rsidRDefault="00ED635E" w:rsidP="00E12DD0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20 patients receiving radiotherapy or radiochemotherapy for head and neck tumours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6DB74" w14:textId="77777777" w:rsidR="00ED635E" w:rsidRPr="00830785" w:rsidRDefault="00ED635E" w:rsidP="00BB409A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 xml:space="preserve">Traumeel S solution  or sage tea (Salvia officinalis) </w:t>
            </w:r>
          </w:p>
          <w:p w14:paraId="64CDB94B" w14:textId="77777777" w:rsidR="00ED635E" w:rsidRPr="00830785" w:rsidRDefault="00ED635E" w:rsidP="00D2233C">
            <w:pPr>
              <w:rPr>
                <w:rFonts w:asciiTheme="minorHAnsi" w:hAnsiTheme="minorHAnsi" w:cstheme="minorHAnsi"/>
                <w:sz w:val="22"/>
                <w:szCs w:val="22"/>
                <w:lang w:val="nl-BE" w:eastAsia="nl-B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A6F60" w14:textId="77777777" w:rsidR="00ED635E" w:rsidRPr="00830785" w:rsidRDefault="00ED635E" w:rsidP="00E12DD0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Mucositis, oral pain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F9CC1" w14:textId="77777777" w:rsidR="00ED635E" w:rsidRPr="00830785" w:rsidRDefault="00ED635E" w:rsidP="00E12DD0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No significant differences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D5AA7" w14:textId="77777777" w:rsidR="00ED635E" w:rsidRPr="00830785" w:rsidRDefault="00ED635E" w:rsidP="00BB409A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Randomisation – not randomised</w:t>
            </w:r>
          </w:p>
          <w:p w14:paraId="019B7789" w14:textId="77777777" w:rsidR="00ED635E" w:rsidRPr="00830785" w:rsidRDefault="00ED635E" w:rsidP="00BB409A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Allocation concealment – N/A</w:t>
            </w:r>
          </w:p>
          <w:p w14:paraId="44458575" w14:textId="77777777" w:rsidR="00ED635E" w:rsidRPr="00830785" w:rsidRDefault="00ED635E" w:rsidP="00BB409A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 xml:space="preserve">Blinding – not blinded </w:t>
            </w:r>
          </w:p>
          <w:p w14:paraId="3A1DA64F" w14:textId="77777777" w:rsidR="00ED635E" w:rsidRPr="00830785" w:rsidRDefault="00ED635E" w:rsidP="00BB409A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 xml:space="preserve">Power – not mentioned and may be underpowered  </w:t>
            </w:r>
          </w:p>
          <w:p w14:paraId="1E81EA9C" w14:textId="77777777" w:rsidR="00ED635E" w:rsidRPr="00830785" w:rsidRDefault="00ED635E" w:rsidP="00BB409A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</w:pPr>
            <w:r w:rsidRPr="0083078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nl-BE" w:eastAsia="nl-BE"/>
              </w:rPr>
              <w:t>Intention-to-treat analysis – not mentioned</w:t>
            </w:r>
          </w:p>
        </w:tc>
      </w:tr>
    </w:tbl>
    <w:p w14:paraId="16B263E9" w14:textId="77777777" w:rsidR="007F6A70" w:rsidRPr="00830785" w:rsidRDefault="004D503D" w:rsidP="006F41B5">
      <w:pPr>
        <w:rPr>
          <w:rFonts w:asciiTheme="minorHAnsi" w:hAnsiTheme="minorHAnsi" w:cstheme="minorHAnsi"/>
          <w:sz w:val="22"/>
          <w:szCs w:val="22"/>
        </w:rPr>
      </w:pPr>
      <w:r w:rsidRPr="00830785">
        <w:rPr>
          <w:rFonts w:asciiTheme="minorHAnsi" w:hAnsiTheme="minorHAnsi" w:cstheme="minorHAnsi"/>
          <w:sz w:val="22"/>
          <w:szCs w:val="22"/>
        </w:rPr>
        <w:t>RCT = randomised controlled trial</w:t>
      </w:r>
    </w:p>
    <w:p w14:paraId="54AFACCC" w14:textId="77777777" w:rsidR="004D503D" w:rsidRPr="00D60E6C" w:rsidRDefault="003B1B8E" w:rsidP="006F41B5">
      <w:pPr>
        <w:rPr>
          <w:rFonts w:asciiTheme="minorHAnsi" w:hAnsiTheme="minorHAnsi" w:cstheme="minorHAnsi"/>
          <w:sz w:val="22"/>
          <w:szCs w:val="22"/>
        </w:rPr>
      </w:pPr>
      <w:r w:rsidRPr="00830785">
        <w:rPr>
          <w:rFonts w:asciiTheme="minorHAnsi" w:hAnsiTheme="minorHAnsi" w:cstheme="minorHAnsi"/>
          <w:sz w:val="22"/>
          <w:szCs w:val="22"/>
        </w:rPr>
        <w:t>QOL</w:t>
      </w:r>
      <w:r w:rsidR="004D503D" w:rsidRPr="00830785">
        <w:rPr>
          <w:rFonts w:asciiTheme="minorHAnsi" w:hAnsiTheme="minorHAnsi" w:cstheme="minorHAnsi"/>
          <w:sz w:val="22"/>
          <w:szCs w:val="22"/>
        </w:rPr>
        <w:t>= quality of life</w:t>
      </w:r>
    </w:p>
    <w:p w14:paraId="7284EF10" w14:textId="77777777" w:rsidR="007F66A3" w:rsidRPr="00D60E6C" w:rsidRDefault="007F66A3">
      <w:pPr>
        <w:rPr>
          <w:rFonts w:asciiTheme="minorHAnsi" w:hAnsiTheme="minorHAnsi" w:cstheme="minorHAnsi"/>
          <w:sz w:val="22"/>
          <w:szCs w:val="22"/>
        </w:rPr>
      </w:pPr>
    </w:p>
    <w:sectPr w:rsidR="007F66A3" w:rsidRPr="00D60E6C" w:rsidSect="006F41B5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88151" w14:textId="77777777" w:rsidR="0028253F" w:rsidRDefault="0028253F" w:rsidP="0010542E">
      <w:r>
        <w:separator/>
      </w:r>
    </w:p>
  </w:endnote>
  <w:endnote w:type="continuationSeparator" w:id="0">
    <w:p w14:paraId="3C39D3D1" w14:textId="77777777" w:rsidR="0028253F" w:rsidRDefault="0028253F" w:rsidP="00105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F596C" w14:textId="51CF91A7" w:rsidR="00DA62BA" w:rsidRDefault="00DA62BA" w:rsidP="00ED635E">
    <w:pPr>
      <w:tabs>
        <w:tab w:val="center" w:pos="4513"/>
        <w:tab w:val="right" w:pos="9026"/>
      </w:tabs>
    </w:pPr>
    <w:r w:rsidRPr="00D2233C">
      <w:rPr>
        <w:rFonts w:ascii="Calibri" w:eastAsia="Calibri" w:hAnsi="Calibri"/>
        <w:sz w:val="20"/>
        <w:lang w:eastAsia="en-US"/>
      </w:rPr>
      <w:t>© 2022 The CAM Cancer Collaboration. The website cam-cancer.org is managed by Norway’s National Research Centre for Complementary and Alternative Medicine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3990D" w14:textId="77777777" w:rsidR="0028253F" w:rsidRDefault="0028253F" w:rsidP="0010542E">
      <w:r>
        <w:separator/>
      </w:r>
    </w:p>
  </w:footnote>
  <w:footnote w:type="continuationSeparator" w:id="0">
    <w:p w14:paraId="30898D25" w14:textId="77777777" w:rsidR="0028253F" w:rsidRDefault="0028253F" w:rsidP="00105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DFF61" w14:textId="11B6D51B" w:rsidR="00FF4739" w:rsidRDefault="00FF4739">
    <w:pPr>
      <w:pStyle w:val="Topptekst"/>
    </w:pPr>
    <w:r>
      <w:rPr>
        <w:noProof/>
      </w:rPr>
      <w:drawing>
        <wp:inline distT="0" distB="0" distL="0" distR="0" wp14:anchorId="456E56BF" wp14:editId="42C57C67">
          <wp:extent cx="1850824" cy="36830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293" cy="37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1B5"/>
    <w:rsid w:val="00003824"/>
    <w:rsid w:val="00030BC6"/>
    <w:rsid w:val="00040CC8"/>
    <w:rsid w:val="000720E9"/>
    <w:rsid w:val="000C4CEB"/>
    <w:rsid w:val="000D2F7A"/>
    <w:rsid w:val="000E09E1"/>
    <w:rsid w:val="000E674E"/>
    <w:rsid w:val="0010542E"/>
    <w:rsid w:val="00133B05"/>
    <w:rsid w:val="001569D0"/>
    <w:rsid w:val="00177645"/>
    <w:rsid w:val="00196151"/>
    <w:rsid w:val="001B0436"/>
    <w:rsid w:val="00202732"/>
    <w:rsid w:val="002131DC"/>
    <w:rsid w:val="00221EA3"/>
    <w:rsid w:val="00234F81"/>
    <w:rsid w:val="00264C8C"/>
    <w:rsid w:val="0028253F"/>
    <w:rsid w:val="002B31E9"/>
    <w:rsid w:val="002C4007"/>
    <w:rsid w:val="002D0166"/>
    <w:rsid w:val="002F34EF"/>
    <w:rsid w:val="003165F2"/>
    <w:rsid w:val="0032082C"/>
    <w:rsid w:val="00342936"/>
    <w:rsid w:val="00355AAD"/>
    <w:rsid w:val="003661EF"/>
    <w:rsid w:val="003849B8"/>
    <w:rsid w:val="003B1B8E"/>
    <w:rsid w:val="003C204F"/>
    <w:rsid w:val="003C3932"/>
    <w:rsid w:val="003D102D"/>
    <w:rsid w:val="003D51E4"/>
    <w:rsid w:val="00415847"/>
    <w:rsid w:val="00417D82"/>
    <w:rsid w:val="00424D35"/>
    <w:rsid w:val="00451C95"/>
    <w:rsid w:val="00470419"/>
    <w:rsid w:val="00475138"/>
    <w:rsid w:val="004D0802"/>
    <w:rsid w:val="004D503D"/>
    <w:rsid w:val="005D6D19"/>
    <w:rsid w:val="005E1A79"/>
    <w:rsid w:val="00624B16"/>
    <w:rsid w:val="00632AE0"/>
    <w:rsid w:val="006547AE"/>
    <w:rsid w:val="00676690"/>
    <w:rsid w:val="00694B36"/>
    <w:rsid w:val="006F41B5"/>
    <w:rsid w:val="007471BB"/>
    <w:rsid w:val="007D43B2"/>
    <w:rsid w:val="007E7C54"/>
    <w:rsid w:val="007F33B9"/>
    <w:rsid w:val="007F66A3"/>
    <w:rsid w:val="007F6A70"/>
    <w:rsid w:val="008164FE"/>
    <w:rsid w:val="00830785"/>
    <w:rsid w:val="00834720"/>
    <w:rsid w:val="008D7612"/>
    <w:rsid w:val="00926FB9"/>
    <w:rsid w:val="00972263"/>
    <w:rsid w:val="0098012F"/>
    <w:rsid w:val="0099000E"/>
    <w:rsid w:val="009940D1"/>
    <w:rsid w:val="009F2EA9"/>
    <w:rsid w:val="009F7CED"/>
    <w:rsid w:val="00A41C4A"/>
    <w:rsid w:val="00A46489"/>
    <w:rsid w:val="00A54530"/>
    <w:rsid w:val="00A74073"/>
    <w:rsid w:val="00AB3E37"/>
    <w:rsid w:val="00AD524B"/>
    <w:rsid w:val="00AE6EAA"/>
    <w:rsid w:val="00B05C79"/>
    <w:rsid w:val="00BA49AD"/>
    <w:rsid w:val="00BA4C00"/>
    <w:rsid w:val="00BB409A"/>
    <w:rsid w:val="00BC4306"/>
    <w:rsid w:val="00C10BB1"/>
    <w:rsid w:val="00C3654C"/>
    <w:rsid w:val="00C4694E"/>
    <w:rsid w:val="00C8077E"/>
    <w:rsid w:val="00C82E87"/>
    <w:rsid w:val="00CA3A76"/>
    <w:rsid w:val="00CE45F7"/>
    <w:rsid w:val="00D2233C"/>
    <w:rsid w:val="00D31277"/>
    <w:rsid w:val="00D41F35"/>
    <w:rsid w:val="00D46F39"/>
    <w:rsid w:val="00D60E6C"/>
    <w:rsid w:val="00D80ABB"/>
    <w:rsid w:val="00D85531"/>
    <w:rsid w:val="00DA62BA"/>
    <w:rsid w:val="00DC0D64"/>
    <w:rsid w:val="00DD2627"/>
    <w:rsid w:val="00DD657A"/>
    <w:rsid w:val="00DF5BF6"/>
    <w:rsid w:val="00E12DD0"/>
    <w:rsid w:val="00E13DA5"/>
    <w:rsid w:val="00E32308"/>
    <w:rsid w:val="00E5041C"/>
    <w:rsid w:val="00E86986"/>
    <w:rsid w:val="00E9554D"/>
    <w:rsid w:val="00EA4AD8"/>
    <w:rsid w:val="00ED635E"/>
    <w:rsid w:val="00F314FB"/>
    <w:rsid w:val="00F46019"/>
    <w:rsid w:val="00FC5E7A"/>
    <w:rsid w:val="00FD0B0A"/>
    <w:rsid w:val="00FF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E5B025"/>
  <w15:docId w15:val="{C317FC53-63B8-47CB-A5EE-FF0943352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1B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Overskrift1">
    <w:name w:val="heading 1"/>
    <w:basedOn w:val="Normal"/>
    <w:next w:val="Normal"/>
    <w:link w:val="Overskrift1Tegn"/>
    <w:qFormat/>
    <w:rsid w:val="006F41B5"/>
    <w:pPr>
      <w:keepNext/>
      <w:spacing w:before="240" w:after="240" w:line="360" w:lineRule="auto"/>
      <w:outlineLvl w:val="0"/>
    </w:pPr>
    <w:rPr>
      <w:rFonts w:ascii="Arial" w:hAnsi="Arial"/>
      <w:b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6F41B5"/>
    <w:rPr>
      <w:rFonts w:ascii="Arial" w:eastAsia="Times New Roman" w:hAnsi="Arial" w:cs="Times New Roman"/>
      <w:b/>
      <w:sz w:val="28"/>
      <w:szCs w:val="20"/>
      <w:lang w:eastAsia="de-D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41C4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41C4A"/>
    <w:rPr>
      <w:rFonts w:ascii="Tahoma" w:eastAsia="Times New Roman" w:hAnsi="Tahoma" w:cs="Tahoma"/>
      <w:sz w:val="16"/>
      <w:szCs w:val="16"/>
      <w:lang w:eastAsia="de-DE"/>
    </w:rPr>
  </w:style>
  <w:style w:type="character" w:styleId="Utheving">
    <w:name w:val="Emphasis"/>
    <w:basedOn w:val="Standardskriftforavsnitt"/>
    <w:uiPriority w:val="20"/>
    <w:qFormat/>
    <w:rsid w:val="00BA49AD"/>
    <w:rPr>
      <w:i/>
      <w:iCs/>
    </w:rPr>
  </w:style>
  <w:style w:type="paragraph" w:styleId="Topptekst">
    <w:name w:val="header"/>
    <w:basedOn w:val="Normal"/>
    <w:link w:val="TopptekstTegn"/>
    <w:uiPriority w:val="99"/>
    <w:unhideWhenUsed/>
    <w:rsid w:val="0010542E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0542E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unntekst">
    <w:name w:val="footer"/>
    <w:basedOn w:val="Normal"/>
    <w:link w:val="BunntekstTegn"/>
    <w:uiPriority w:val="99"/>
    <w:unhideWhenUsed/>
    <w:rsid w:val="0010542E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0542E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Hyperkobling">
    <w:name w:val="Hyperlink"/>
    <w:basedOn w:val="Standardskriftforavsnitt"/>
    <w:uiPriority w:val="99"/>
    <w:unhideWhenUsed/>
    <w:rsid w:val="00C82E87"/>
    <w:rPr>
      <w:color w:val="0000FF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C393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C3932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C393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C393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C3932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styleId="Ulstomtale">
    <w:name w:val="Unresolved Mention"/>
    <w:basedOn w:val="Standardskriftforavsnitt"/>
    <w:uiPriority w:val="99"/>
    <w:semiHidden/>
    <w:unhideWhenUsed/>
    <w:rsid w:val="00D223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m-cancer.org/en/homeopathy-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m-cancer.org/en/homeopathy-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3C0AD-531A-48C7-9A4F-A60D8BD6F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1089</Words>
  <Characters>5774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Wider</dc:creator>
  <cp:lastModifiedBy>Tine Lillegård Bergli</cp:lastModifiedBy>
  <cp:revision>2</cp:revision>
  <cp:lastPrinted>2015-07-20T13:32:00Z</cp:lastPrinted>
  <dcterms:created xsi:type="dcterms:W3CDTF">2022-12-13T09:34:00Z</dcterms:created>
  <dcterms:modified xsi:type="dcterms:W3CDTF">2022-12-13T09:34:00Z</dcterms:modified>
</cp:coreProperties>
</file>